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9746"/>
      </w:tblGrid>
      <w:tr>
        <w:tc>
          <w:tcPr>
            <w:tcW w:type="dxa" w:w="9746"/>
            <w:shd w:fill="0B2C4D" w:color="auto" w:val="clear"/>
            <w:tcMar>
              <w:top w:type="dxa" w:w="200"/>
              <w:left w:type="dxa" w:w="110"/>
              <w:bottom w:type="dxa" w:w="200"/>
              <w:right w:type="dxa" w:w="110"/>
            </w:tcMar>
            <w:vAlign w:val="center"/>
          </w:tcPr>
          <w:p>
            <w:pPr>
              <w:keepNext w:val="false"/>
              <w:spacing w:after="20" w:before="120" w:line="264"/>
              <w:jc w:val="left"/>
            </w:pPr>
            <w:r>
              <w:rPr>
                <w:rFonts w:ascii="Calibri" w:cs="Calibri" w:eastAsia="Calibri" w:hAnsi="Calibri"/>
                <w:b/>
                <w:bCs/>
                <w:i w:val="false"/>
                <w:iCs w:val="false"/>
                <w:caps w:val="false"/>
                <w:color w:val="FFFFFF"/>
                <w:spacing w:val="90"/>
                <w:sz w:val="56"/>
                <w:szCs w:val="56"/>
              </w:rPr>
              <w:t xml:space="preserve">IMTITHAL</w:t>
            </w:r>
          </w:p>
          <w:p>
            <w:pPr>
              <w:keepNext w:val="false"/>
              <w:spacing w:after="30" w:before="40" w:line="264"/>
              <w:jc w:val="left"/>
            </w:pPr>
            <w:r>
              <w:rPr>
                <w:rFonts w:ascii="Calibri" w:cs="Calibri" w:eastAsia="Calibri" w:hAnsi="Calibri"/>
                <w:b w:val="false"/>
                <w:bCs w:val="false"/>
                <w:i w:val="false"/>
                <w:iCs w:val="false"/>
                <w:caps/>
                <w:color w:val="F3ECDD"/>
                <w:spacing w:val="60"/>
                <w:sz w:val="20"/>
                <w:szCs w:val="20"/>
              </w:rPr>
              <w:t xml:space="preserve">PROJECT MANAGEMENT SYSTEM</w:t>
            </w:r>
          </w:p>
          <w:p>
            <w:pPr>
              <w:keepNext w:val="false"/>
              <w:spacing w:after="140" w:before="40" w:line="264"/>
              <w:jc w:val="left"/>
            </w:pPr>
            <w:r>
              <w:rPr>
                <w:rFonts w:ascii="Calibri" w:cs="Calibri" w:eastAsia="Calibri" w:hAnsi="Calibri"/>
                <w:b w:val="false"/>
                <w:bCs w:val="false"/>
                <w:i/>
                <w:iCs/>
                <w:caps w:val="false"/>
                <w:color w:val="BFD0E0"/>
                <w:sz w:val="18"/>
                <w:szCs w:val="18"/>
              </w:rPr>
              <w:t xml:space="preserve">PMBOK® Guide – Eighth Edition Aligned</w:t>
            </w:r>
          </w:p>
        </w:tc>
      </w:tr>
    </w:tbl>
    <w:tbl>
      <w:tblPr>
        <w:tblW w:type="dxa" w:w="9746"/>
        <w:tblBorders>
          <w:top w:val="none" w:color="FFFFFF" w:sz="0"/>
          <w:left w:val="none" w:color="FFFFFF" w:sz="0"/>
          <w:bottom w:val="none" w:color="FFFFFF" w:sz="0"/>
          <w:right w:val="none" w:color="FFFFFF" w:sz="0"/>
          <w:insideH w:val="none" w:color="FFFFFF" w:sz="0"/>
          <w:insideV w:val="none" w:color="FFFFFF" w:sz="0"/>
        </w:tblBorders>
      </w:tblPr>
      <w:tblGrid>
        <w:gridCol w:w="9746"/>
      </w:tblGrid>
      <w:tr>
        <w:tc>
          <w:tcPr>
            <w:tcW w:type="dxa" w:w="9746"/>
            <w:shd w:fill="B08D3F" w:color="auto" w:val="clear"/>
            <w:tcMar>
              <w:top w:type="dxa" w:w="20"/>
              <w:left w:type="dxa" w:w="110"/>
              <w:bottom w:type="dxa" w:w="2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8"/>
                <w:szCs w:val="8"/>
              </w:rPr>
              <w:t xml:space="preserve"> </w:t>
            </w:r>
          </w:p>
        </w:tc>
      </w:tr>
    </w:tbl>
    <w:p>
      <w:pPr>
        <w:keepNext w:val="false"/>
        <w:spacing w:after="400" w:before="40" w:line="264"/>
        <w:jc w:val="left"/>
      </w:pPr>
      <w:r>
        <w:rPr>
          <w:rFonts w:ascii="Calibri" w:cs="Calibri" w:eastAsia="Calibri" w:hAnsi="Calibri"/>
          <w:b w:val="false"/>
          <w:bCs w:val="false"/>
          <w:i w:val="false"/>
          <w:iCs w:val="false"/>
          <w:caps w:val="false"/>
          <w:color w:val="1A1A1A"/>
          <w:sz w:val="20"/>
          <w:szCs w:val="20"/>
        </w:rPr>
        <w:t xml:space="preserve"> </w:t>
      </w:r>
    </w:p>
    <w:p>
      <w:pPr>
        <w:keepNext w:val="false"/>
        <w:spacing w:after="160" w:before="40" w:line="264"/>
        <w:jc w:val="center"/>
      </w:pPr>
      <w:r>
        <w:rPr>
          <w:rFonts w:ascii="Calibri" w:cs="Calibri" w:eastAsia="Calibri" w:hAnsi="Calibri"/>
          <w:b/>
          <w:bCs/>
          <w:i w:val="false"/>
          <w:iCs w:val="false"/>
          <w:caps/>
          <w:color w:val="B08D3F"/>
          <w:spacing w:val="50"/>
          <w:sz w:val="19"/>
          <w:szCs w:val="19"/>
        </w:rPr>
        <w:t xml:space="preserve">TOOLKIT 01  |  PROJECT INITIATION &amp; GOVERNANCE</w:t>
      </w:r>
    </w:p>
    <w:p>
      <w:pPr>
        <w:keepNext w:val="false"/>
        <w:spacing w:after="100" w:before="40" w:line="320"/>
        <w:jc w:val="center"/>
      </w:pPr>
      <w:r>
        <w:rPr>
          <w:rFonts w:ascii="Calibri" w:cs="Calibri" w:eastAsia="Calibri" w:hAnsi="Calibri"/>
          <w:b/>
          <w:bCs/>
          <w:i w:val="false"/>
          <w:iCs w:val="false"/>
          <w:caps w:val="false"/>
          <w:color w:val="0B2C4D"/>
          <w:sz w:val="46"/>
          <w:szCs w:val="46"/>
        </w:rPr>
        <w:t xml:space="preserve">PROJECT TAILORING ASSESSMENT</w:t>
      </w:r>
    </w:p>
    <w:p>
      <w:pPr>
        <w:keepNext w:val="false"/>
        <w:spacing w:after="220" w:before="40" w:line="264"/>
        <w:jc w:val="center"/>
      </w:pPr>
      <w:r>
        <w:rPr>
          <w:rFonts w:ascii="Calibri" w:cs="Calibri" w:eastAsia="Calibri" w:hAnsi="Calibri"/>
          <w:b w:val="false"/>
          <w:bCs w:val="false"/>
          <w:i/>
          <w:iCs/>
          <w:caps w:val="false"/>
          <w:color w:val="5B6770"/>
          <w:sz w:val="21"/>
          <w:szCs w:val="21"/>
        </w:rPr>
        <w:t xml:space="preserve">Assessment and approval of methodology tailoring for the project</w:t>
      </w:r>
    </w:p>
    <w:p>
      <w:pPr>
        <w:keepNext w:val="false"/>
        <w:spacing w:after="500" w:before="40" w:line="264"/>
        <w:jc w:val="center"/>
      </w:pPr>
      <w:r>
        <w:rPr>
          <w:rFonts w:ascii="Calibri" w:cs="Calibri" w:eastAsia="Calibri" w:hAnsi="Calibri"/>
          <w:b w:val="false"/>
          <w:bCs w:val="false"/>
          <w:i w:val="false"/>
          <w:iCs w:val="false"/>
          <w:caps w:val="false"/>
          <w:color w:val="5B6770"/>
          <w:sz w:val="19"/>
          <w:szCs w:val="19"/>
        </w:rPr>
        <w:t xml:space="preserve">Document Reference:  </w:t>
      </w:r>
      <w:r>
        <w:rPr>
          <w:rFonts w:ascii="Calibri" w:cs="Calibri" w:eastAsia="Calibri" w:hAnsi="Calibri"/>
          <w:b/>
          <w:bCs/>
          <w:i w:val="false"/>
          <w:iCs w:val="false"/>
          <w:caps w:val="false"/>
          <w:color w:val="0B2C4D"/>
          <w:sz w:val="19"/>
          <w:szCs w:val="19"/>
        </w:rPr>
        <w:t xml:space="preserve">IMT-PIG-017</w:t>
      </w:r>
    </w:p>
    <w:tbl>
      <w:tblPr>
        <w:tblW w:type="dxa" w:w="9746"/>
        <w:tblBorders>
          <w:top w:val="single" w:color="14456F" w:sz="4"/>
          <w:left w:val="single" w:color="14456F" w:sz="4"/>
          <w:bottom w:val="single" w:color="14456F" w:sz="4"/>
          <w:right w:val="single" w:color="14456F" w:sz="4"/>
          <w:insideH w:val="single" w:color="14456F" w:sz="4"/>
          <w:insideV w:val="single" w:color="14456F" w:sz="4"/>
        </w:tblBorders>
      </w:tblPr>
      <w:tblGrid>
        <w:gridCol w:w="1851"/>
        <w:gridCol w:w="3021"/>
        <w:gridCol w:w="1851"/>
        <w:gridCol w:w="3023"/>
      </w:tblGrid>
      <w:tr>
        <w:tc>
          <w:tcPr>
            <w:tcW w:type="dxa" w:w="9746"/>
            <w:gridSpan w:val="4"/>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pacing w:val="50"/>
                <w:sz w:val="19"/>
                <w:szCs w:val="19"/>
              </w:rPr>
              <w:t xml:space="preserve">DOCUMENT CONTROL</w:t>
            </w:r>
          </w:p>
        </w:tc>
      </w:tr>
      <w:tr>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File Name</w:t>
            </w:r>
          </w:p>
        </w:tc>
        <w:tc>
          <w:tcPr>
            <w:tcW w:type="dxa" w:w="3021"/>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IMT-PIG-017_Project_Tailoring_Assessment_v1.0.docx</w:t>
            </w:r>
          </w:p>
        </w:tc>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Version</w:t>
            </w:r>
          </w:p>
        </w:tc>
        <w:tc>
          <w:tcPr>
            <w:tcW w:type="dxa" w:w="3023"/>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1.0</w:t>
            </w:r>
          </w:p>
        </w:tc>
      </w:tr>
      <w:tr>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Document Owner</w:t>
            </w:r>
          </w:p>
        </w:tc>
        <w:tc>
          <w:tcPr>
            <w:tcW w:type="dxa" w:w="3021"/>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Project Management Office (PMO)</w:t>
            </w:r>
          </w:p>
        </w:tc>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Document Status</w:t>
            </w:r>
          </w:p>
        </w:tc>
        <w:tc>
          <w:tcPr>
            <w:tcW w:type="dxa" w:w="3023"/>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Approved – Issued for Use</w:t>
            </w:r>
          </w:p>
        </w:tc>
      </w:tr>
      <w:tr>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Approval Authority</w:t>
            </w:r>
          </w:p>
        </w:tc>
        <w:tc>
          <w:tcPr>
            <w:tcW w:type="dxa" w:w="3021"/>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PMO Manager (methodological approval) and Project Sponsor (acceptance of residual risk)</w:t>
            </w:r>
          </w:p>
        </w:tc>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Classification</w:t>
            </w:r>
          </w:p>
        </w:tc>
        <w:tc>
          <w:tcPr>
            <w:tcW w:type="dxa" w:w="3023"/>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Internal – Controlled Document</w:t>
            </w:r>
          </w:p>
        </w:tc>
      </w:tr>
      <w:tr>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Effective Date</w:t>
            </w:r>
          </w:p>
        </w:tc>
        <w:tc>
          <w:tcPr>
            <w:tcW w:type="dxa" w:w="3021"/>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01-Sep-2026</w:t>
            </w:r>
          </w:p>
        </w:tc>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Revision Date</w:t>
            </w:r>
          </w:p>
        </w:tc>
        <w:tc>
          <w:tcPr>
            <w:tcW w:type="dxa" w:w="3023"/>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01-Sep-2026</w:t>
            </w:r>
          </w:p>
        </w:tc>
      </w:tr>
      <w:tr>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Next Review Date</w:t>
            </w:r>
          </w:p>
        </w:tc>
        <w:tc>
          <w:tcPr>
            <w:tcW w:type="dxa" w:w="3021"/>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01-Sep-2027</w:t>
            </w:r>
          </w:p>
        </w:tc>
        <w:tc>
          <w:tcPr>
            <w:tcW w:type="dxa" w:w="1851"/>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0B2C4D"/>
                <w:sz w:val="18"/>
                <w:szCs w:val="18"/>
              </w:rPr>
              <w:t xml:space="preserve">Review Frequency</w:t>
            </w:r>
          </w:p>
        </w:tc>
        <w:tc>
          <w:tcPr>
            <w:tcW w:type="dxa" w:w="3023"/>
            <w:shd w:fill="FFFFF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8"/>
                <w:szCs w:val="18"/>
              </w:rPr>
              <w:t xml:space="preserve">At every stage gate, and whenever complexity, value or risk exposure changes materially</w:t>
            </w:r>
          </w:p>
        </w:tc>
      </w:tr>
    </w:tbl>
    <w:p>
      <w:pPr>
        <w:keepNext w:val="false"/>
        <w:spacing w:after="300" w:before="40" w:line="264"/>
        <w:jc w:val="left"/>
      </w:pPr>
      <w:r>
        <w:rPr>
          <w:rFonts w:ascii="Calibri" w:cs="Calibri" w:eastAsia="Calibri" w:hAnsi="Calibri"/>
          <w:b w:val="false"/>
          <w:bCs w:val="false"/>
          <w:i w:val="false"/>
          <w:iCs w:val="false"/>
          <w:caps w:val="false"/>
          <w:color w:val="1A1A1A"/>
          <w:sz w:val="20"/>
          <w:szCs w:val="20"/>
        </w:rPr>
        <w:t xml:space="preserve"> </w:t>
      </w:r>
    </w:p>
    <w:tbl>
      <w:tblPr>
        <w:tblW w:type="dxa" w:w="9746"/>
        <w:tblBorders>
          <w:top w:val="single" w:color="B08D3F" w:sz="8"/>
          <w:left w:val="none" w:color="FFFFFF" w:sz="0"/>
          <w:bottom w:val="none" w:color="FFFFFF" w:sz="0"/>
          <w:right w:val="none" w:color="FFFFFF" w:sz="0"/>
          <w:insideH w:val="none" w:color="FFFFFF" w:sz="0"/>
          <w:insideV w:val="none" w:color="FFFFFF" w:sz="0"/>
        </w:tblBorders>
      </w:tblPr>
      <w:tblGrid>
        <w:gridCol w:w="9746"/>
      </w:tblGrid>
      <w:tr>
        <w:tc>
          <w:tcPr>
            <w:tcW w:type="dxa" w:w="9746"/>
            <w:tcMar>
              <w:top w:type="dxa" w:w="70"/>
              <w:left w:type="dxa" w:w="110"/>
              <w:bottom w:type="dxa" w:w="70"/>
              <w:right w:type="dxa" w:w="110"/>
            </w:tcMar>
            <w:vAlign w:val="center"/>
          </w:tcPr>
          <w:p>
            <w:pPr>
              <w:keepNext w:val="false"/>
              <w:spacing w:after="30" w:before="90" w:line="264"/>
              <w:jc w:val="center"/>
            </w:pPr>
            <w:r>
              <w:rPr>
                <w:rFonts w:ascii="Calibri" w:cs="Calibri" w:eastAsia="Calibri" w:hAnsi="Calibri"/>
                <w:b/>
                <w:bCs/>
                <w:i w:val="false"/>
                <w:iCs w:val="false"/>
                <w:caps w:val="false"/>
                <w:color w:val="0B2C4D"/>
                <w:sz w:val="17"/>
                <w:szCs w:val="17"/>
              </w:rPr>
              <w:t xml:space="preserve">IMTITHAL Project Management System  ·  Toolkit 01: Project Initiation &amp; Governance</w:t>
            </w:r>
          </w:p>
          <w:p>
            <w:pPr>
              <w:keepNext w:val="false"/>
              <w:spacing w:after="60" w:before="40" w:line="220"/>
              <w:jc w:val="center"/>
            </w:pPr>
            <w:r>
              <w:rPr>
                <w:rFonts w:ascii="Calibri" w:cs="Calibri" w:eastAsia="Calibri" w:hAnsi="Calibri"/>
                <w:b w:val="false"/>
                <w:bCs w:val="false"/>
                <w:i/>
                <w:iCs/>
                <w:caps w:val="false"/>
                <w:color w:val="5B6770"/>
                <w:sz w:val="14"/>
                <w:szCs w:val="14"/>
              </w:rPr>
              <w:t xml:space="preserve">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r>
        <w:br w:type="page"/>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1.  </w:t>
      </w:r>
      <w:r>
        <w:rPr>
          <w:rFonts w:ascii="Calibri" w:cs="Calibri" w:eastAsia="Calibri" w:hAnsi="Calibri"/>
          <w:b/>
          <w:bCs/>
          <w:i w:val="false"/>
          <w:iCs w:val="false"/>
          <w:caps w:val="false"/>
          <w:color w:val="0B2C4D"/>
          <w:sz w:val="26"/>
          <w:szCs w:val="26"/>
        </w:rPr>
        <w:t xml:space="preserve">Purpose</w:t>
      </w:r>
    </w:p>
    <w:p>
      <w:pPr>
        <w:keepNext w:val="false"/>
        <w:spacing w:after="80" w:before="40" w:line="264"/>
        <w:jc w:val="left"/>
      </w:pPr>
      <w:r>
        <w:rPr>
          <w:rFonts w:ascii="Calibri" w:cs="Calibri" w:eastAsia="Calibri" w:hAnsi="Calibri"/>
          <w:b w:val="false"/>
          <w:bCs w:val="false"/>
          <w:i w:val="false"/>
          <w:iCs w:val="false"/>
          <w:caps w:val="false"/>
          <w:color w:val="1A1A1A"/>
          <w:sz w:val="20"/>
          <w:szCs w:val="20"/>
        </w:rPr>
        <w:t xml:space="preserve">The Tailoring Assessment records how the organisational project management methodology is adapted to the specific context of this project: which processes, artefacts, ceremonies, controls and reviews are applied in full, applied in a reduced form, added, or omitted, together with the justification for each decision and the residual risk accepted. Tailoring is a deliberate governance act, not an informal shortcut; this document is the control that makes it visible, justified and approved.</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Makes tailoring explicit, justified and approved rather than implicit and unmanaged.</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Ensures governance effort is proportionate to project value, complexity and risk.</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Records the residual risk accepted for each control that is reduced or omitted.</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Provides the audit evidence explaining why a project applied fewer or different controls.</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2.  </w:t>
      </w:r>
      <w:r>
        <w:rPr>
          <w:rFonts w:ascii="Calibri" w:cs="Calibri" w:eastAsia="Calibri" w:hAnsi="Calibri"/>
          <w:b/>
          <w:bCs/>
          <w:i w:val="false"/>
          <w:iCs w:val="false"/>
          <w:caps w:val="false"/>
          <w:color w:val="0B2C4D"/>
          <w:sz w:val="26"/>
          <w:szCs w:val="26"/>
        </w:rPr>
        <w:t xml:space="preserve">When to Use</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During initiation, once the delivery approach has been selected.</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At each stage gate, to confirm that the tailoring remains appropriate for the coming phase.</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When project complexity, value or risk exposure changes materially.</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When a control that was tailored out proves to be needed after all.</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During assurance reviews and audits, as the explanation of the applied control set.</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3.  </w:t>
      </w:r>
      <w:r>
        <w:rPr>
          <w:rFonts w:ascii="Calibri" w:cs="Calibri" w:eastAsia="Calibri" w:hAnsi="Calibri"/>
          <w:b/>
          <w:bCs/>
          <w:i w:val="false"/>
          <w:iCs w:val="false"/>
          <w:caps w:val="false"/>
          <w:color w:val="0B2C4D"/>
          <w:sz w:val="26"/>
          <w:szCs w:val="26"/>
        </w:rPr>
        <w:t xml:space="preserve">Responsibility and Approval</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339"/>
        <w:gridCol w:w="3703"/>
        <w:gridCol w:w="3704"/>
      </w:tblGrid>
      <w:tr>
        <w:trPr>
          <w:cantSplit/>
          <w:tblHeader/>
        </w:trPr>
        <w:tc>
          <w:tcPr>
            <w:tcW w:type="dxa" w:w="233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Governance Role</w:t>
            </w:r>
          </w:p>
        </w:tc>
        <w:tc>
          <w:tcPr>
            <w:tcW w:type="dxa" w:w="3703"/>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Assignment</w:t>
            </w:r>
          </w:p>
        </w:tc>
        <w:tc>
          <w:tcPr>
            <w:tcW w:type="dxa" w:w="370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Description of Involvement</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Responsible (prepares)</w:t>
            </w:r>
          </w:p>
        </w:tc>
        <w:tc>
          <w:tcPr>
            <w:tcW w:type="dxa" w:w="370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Manager</w:t>
            </w:r>
          </w:p>
        </w:tc>
        <w:tc>
          <w:tcPr>
            <w:tcW w:type="dxa" w:w="370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Prepares, populates and maintains the document; ensures accuracy and completeness of all fields.</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Accountable (owns)</w:t>
            </w:r>
          </w:p>
        </w:tc>
        <w:tc>
          <w:tcPr>
            <w:tcW w:type="dxa" w:w="370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Manager</w:t>
            </w:r>
          </w:p>
        </w:tc>
        <w:tc>
          <w:tcPr>
            <w:tcW w:type="dxa" w:w="370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Single point of accountability for the quality, currency and control of the document.</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Consulted</w:t>
            </w:r>
          </w:p>
        </w:tc>
        <w:tc>
          <w:tcPr>
            <w:tcW w:type="dxa" w:w="370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PMO, Finance, Risk, Quality, Legal/Contracts, business owners and technical disciplines as applicable</w:t>
            </w:r>
          </w:p>
        </w:tc>
        <w:tc>
          <w:tcPr>
            <w:tcW w:type="dxa" w:w="370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Provides subject-matter input before submission for approval.</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Informed</w:t>
            </w:r>
          </w:p>
        </w:tc>
        <w:tc>
          <w:tcPr>
            <w:tcW w:type="dxa" w:w="370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team, affected business units, supporting functions, key external stakeholders</w:t>
            </w:r>
          </w:p>
        </w:tc>
        <w:tc>
          <w:tcPr>
            <w:tcW w:type="dxa" w:w="370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Receives the approved document through the controlled distribution list.</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Approves</w:t>
            </w:r>
          </w:p>
        </w:tc>
        <w:tc>
          <w:tcPr>
            <w:tcW w:type="dxa" w:w="370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PMO Manager (methodological approval) and Project Sponsor (acceptance of residual risk)</w:t>
            </w:r>
          </w:p>
        </w:tc>
        <w:tc>
          <w:tcPr>
            <w:tcW w:type="dxa" w:w="370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Formally authorises the document; approval is recorded in the Project Approval Register.</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4.  </w:t>
      </w:r>
      <w:r>
        <w:rPr>
          <w:rFonts w:ascii="Calibri" w:cs="Calibri" w:eastAsia="Calibri" w:hAnsi="Calibri"/>
          <w:b/>
          <w:bCs/>
          <w:i w:val="false"/>
          <w:iCs w:val="false"/>
          <w:caps w:val="false"/>
          <w:color w:val="0B2C4D"/>
          <w:sz w:val="26"/>
          <w:szCs w:val="26"/>
        </w:rPr>
        <w:t xml:space="preserve">Required Inputs</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Organisational project management methodology and its mandatory control set.</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Project Governance Framework (IMT-PIG-008) and the assigned governance tier.</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Approach Selection Form (IMT-PIG-015) and the Suitability Assessment (IMT-PIG-016).</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Project complexity, value, risk exposure and regulatory obligations.</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Lessons learned regarding tailoring on comparable projects.</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5.  </w:t>
      </w:r>
      <w:r>
        <w:rPr>
          <w:rFonts w:ascii="Calibri" w:cs="Calibri" w:eastAsia="Calibri" w:hAnsi="Calibri"/>
          <w:b/>
          <w:bCs/>
          <w:i w:val="false"/>
          <w:iCs w:val="false"/>
          <w:caps w:val="false"/>
          <w:color w:val="0B2C4D"/>
          <w:sz w:val="26"/>
          <w:szCs w:val="26"/>
        </w:rPr>
        <w:t xml:space="preserve">Required Outputs</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An approved tailoring decision for every methodology element.</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A defined applicable control set for the project.</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Documented residual risk acceptance for every reduced or omitted control.</w:t>
      </w:r>
    </w:p>
    <w:p>
      <w:pPr>
        <w:pStyle w:val="ListParagraph"/>
        <w:numPr>
          <w:ilvl w:val="0"/>
          <w:numId w:val="2"/>
        </w:numPr>
        <w:spacing w:after="50" w:before="20" w:line="264"/>
      </w:pPr>
      <w:r>
        <w:rPr>
          <w:rFonts w:ascii="Calibri" w:cs="Calibri" w:eastAsia="Calibri" w:hAnsi="Calibri"/>
          <w:b w:val="false"/>
          <w:bCs w:val="false"/>
          <w:i w:val="false"/>
          <w:iCs w:val="false"/>
          <w:caps w:val="false"/>
          <w:color w:val="1A1A1A"/>
          <w:sz w:val="20"/>
          <w:szCs w:val="20"/>
        </w:rPr>
        <w:t xml:space="preserve">Direct input to the Project Management Plan Index (IMT-PIG-025) and to the Initiation Checklist.</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6.  </w:t>
      </w:r>
      <w:r>
        <w:rPr>
          <w:rFonts w:ascii="Calibri" w:cs="Calibri" w:eastAsia="Calibri" w:hAnsi="Calibri"/>
          <w:b/>
          <w:bCs/>
          <w:i w:val="false"/>
          <w:iCs w:val="false"/>
          <w:caps w:val="false"/>
          <w:color w:val="0B2C4D"/>
          <w:sz w:val="26"/>
          <w:szCs w:val="26"/>
        </w:rPr>
        <w:t xml:space="preserve">PMBOK® Guide – Eighth Edition Alignment</w:t>
      </w:r>
    </w:p>
    <w:p>
      <w:pPr>
        <w:keepNext w:val="false"/>
        <w:spacing w:after="80" w:before="40" w:line="264"/>
        <w:jc w:val="left"/>
      </w:pPr>
      <w:r>
        <w:rPr>
          <w:rFonts w:ascii="Calibri" w:cs="Calibri" w:eastAsia="Calibri" w:hAnsi="Calibri"/>
          <w:b w:val="false"/>
          <w:bCs w:val="false"/>
          <w:i w:val="false"/>
          <w:iCs w:val="false"/>
          <w:caps w:val="false"/>
          <w:color w:val="1A1A1A"/>
          <w:sz w:val="20"/>
          <w:szCs w:val="20"/>
        </w:rPr>
        <w:t xml:space="preserve">This document has been designed in alignment with the following elements of the PMBOK® Guide – Eighth Edition. The alignment statement is provided for conceptual traceability only.</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728"/>
        <w:gridCol w:w="7018"/>
      </w:tblGrid>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Focus Area</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Initiating and Planning; re-tested at each gate</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Performance Domains</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Governance (primary); all performance domains are subject to tailoring decisions</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Guiding Principles</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Adopt a holistic view · Focus on value · Embed quality into processes and deliverables · Be an accountable leader</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Tailoring Consideration</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This document is the organisation's formal tailoring instrument. Tailoring must remain within the boundaries set by the Governance Framework; any tailoring outside those boundaries is a waiver and requires the waiver approval route.</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7.  </w:t>
      </w:r>
      <w:r>
        <w:rPr>
          <w:rFonts w:ascii="Calibri" w:cs="Calibri" w:eastAsia="Calibri" w:hAnsi="Calibri"/>
          <w:b/>
          <w:bCs/>
          <w:i w:val="false"/>
          <w:iCs w:val="false"/>
          <w:caps w:val="false"/>
          <w:color w:val="0B2C4D"/>
          <w:sz w:val="26"/>
          <w:szCs w:val="26"/>
        </w:rPr>
        <w:t xml:space="preserve">Review Frequency and Approval Requirements</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728"/>
        <w:gridCol w:w="7018"/>
      </w:tblGrid>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Review Frequency</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At every stage gate, and whenever complexity, value or risk exposure changes materially</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Review Triggers</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Change of sponsor or governance structure; change of delivery approach; stage-gate decision; material change to scope, cost, schedule, benefits or risk exposure; audit or assurance finding; organisational restructuring.</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Approval Requirements</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Approved by the PMO Manager for methodological compliance and by the Project Sponsor for acceptance of residual risk. Mandatory controls identified in the Governance Framework may not be tailored out; reducing one requires a formally approved waiver.</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Change Control</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trPr>
          <w:cantSplit/>
        </w:trPr>
        <w:tc>
          <w:tcPr>
            <w:tcW w:type="dxa" w:w="2728"/>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Retention</w:t>
            </w:r>
          </w:p>
        </w:tc>
        <w:tc>
          <w:tcPr>
            <w:tcW w:type="dxa" w:w="701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Retained for the life of the project plus the organisational records-retention period, in the Project Information and Document Register.</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8.  </w:t>
      </w:r>
      <w:r>
        <w:rPr>
          <w:rFonts w:ascii="Calibri" w:cs="Calibri" w:eastAsia="Calibri" w:hAnsi="Calibri"/>
          <w:b/>
          <w:bCs/>
          <w:i w:val="false"/>
          <w:iCs w:val="false"/>
          <w:caps w:val="false"/>
          <w:color w:val="0B2C4D"/>
          <w:sz w:val="26"/>
          <w:szCs w:val="26"/>
        </w:rPr>
        <w:t xml:space="preserve">Instructions for Completion</w:t>
      </w:r>
    </w:p>
    <w:p>
      <w:pPr>
        <w:keepNext w:val="false"/>
        <w:spacing w:after="80" w:before="40" w:line="264"/>
        <w:jc w:val="left"/>
      </w:pPr>
      <w:r>
        <w:rPr>
          <w:rFonts w:ascii="Calibri" w:cs="Calibri" w:eastAsia="Calibri" w:hAnsi="Calibri"/>
          <w:b w:val="false"/>
          <w:bCs w:val="false"/>
          <w:i w:val="false"/>
          <w:iCs w:val="false"/>
          <w:caps w:val="false"/>
          <w:color w:val="1A1A1A"/>
          <w:sz w:val="20"/>
          <w:szCs w:val="20"/>
        </w:rPr>
        <w:t xml:space="preserve">Complete every field. Where a field is not applicable, enter "N/A" and state the reason — never leave a field blank.</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Complete the complexity assessment in Section B first. The complexity rating drives the baseline level of tailoring that is defensible.</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For each methodology element in Section C, record the tailoring decision: Apply in full, Apply in reduced form, Combine with another element, Add, or Omit.</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For every decision other than "Apply in full", record the justification and the residual risk accepted. A tailoring decision without a stated residual risk has not been assessed.</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Identify mandatory controls before deciding. Controls designated mandatory by the Governance Framework, by regulation or by contract cannot be tailored out — reducing one requires the waiver route in Section F.</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Record additions in Section D. Tailoring is not only about removing effort; complex or novel projects frequently need controls beyond the standard method.</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Record artefact-level tailoring in Section E, stating which documents will be produced, which will be merged, and which will be omitted, with the justification for each.</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Complete Section F for any element that requires a waiver, and obtain sponsor approval for the residual risk in each case.</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Assess the cumulative effect in Section G. Individually defensible reductions can combine into an indefensible control environment; assess the total, not only each item.</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Obtain PMO and sponsor approval, and publish the applicable control set to the team so that everyone works to the same tailored method.</w:t>
      </w:r>
    </w:p>
    <w:p>
      <w:pPr>
        <w:pStyle w:val="ListParagraph"/>
        <w:numPr>
          <w:ilvl w:val="0"/>
          <w:numId w:val="3"/>
        </w:numPr>
        <w:spacing w:after="50" w:before="20" w:line="264"/>
      </w:pPr>
      <w:r>
        <w:rPr>
          <w:rFonts w:ascii="Calibri" w:cs="Calibri" w:eastAsia="Calibri" w:hAnsi="Calibri"/>
          <w:b w:val="false"/>
          <w:bCs w:val="false"/>
          <w:i w:val="false"/>
          <w:iCs w:val="false"/>
          <w:caps w:val="false"/>
          <w:color w:val="1A1A1A"/>
          <w:sz w:val="20"/>
          <w:szCs w:val="20"/>
        </w:rPr>
        <w:t xml:space="preserve">Re-test at each gate. Where a tailored-out control is subsequently needed, reinstate it formally through this document rather than informally.</w:t>
      </w:r>
    </w:p>
    <w:tbl>
      <w:tblPr>
        <w:tblW w:type="dxa" w:w="9746"/>
        <w:tblBorders>
          <w:top w:val="none" w:color="FFFFFF" w:sz="0"/>
          <w:left w:val="single" w:color="B08D3F" w:sz="18"/>
          <w:bottom w:val="none" w:color="FFFFFF" w:sz="0"/>
          <w:right w:val="none" w:color="FFFFFF" w:sz="0"/>
          <w:insideH w:val="none" w:color="FFFFFF" w:sz="0"/>
          <w:insideV w:val="none" w:color="FFFFFF" w:sz="0"/>
        </w:tblBorders>
      </w:tblPr>
      <w:tblGrid>
        <w:gridCol w:w="9746"/>
      </w:tblGrid>
      <w:tr>
        <w:tc>
          <w:tcPr>
            <w:tcW w:type="dxa" w:w="9746"/>
            <w:shd w:fill="F4F6F8"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color w:val="B08D3F"/>
                <w:spacing w:val="30"/>
                <w:sz w:val="16"/>
                <w:szCs w:val="16"/>
              </w:rPr>
              <w:t xml:space="preserve">NOTE   </w:t>
            </w:r>
            <w:r>
              <w:rPr>
                <w:rFonts w:ascii="Calibri" w:cs="Calibri" w:eastAsia="Calibri" w:hAnsi="Calibri"/>
                <w:b w:val="false"/>
                <w:bCs w:val="false"/>
                <w:i/>
                <w:iCs/>
                <w:caps w:val="false"/>
                <w:color w:val="5B6770"/>
                <w:sz w:val="19"/>
                <w:szCs w:val="19"/>
              </w:rPr>
              <w:t xml:space="preserve">Tailoring reduces effort; it does not reduce accountability. Every control that is reduced or omitted transfers risk to the project and, ultimately, to the sponsor who accepts it.</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r>
        <w:br w:type="page"/>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9.  </w:t>
      </w:r>
      <w:r>
        <w:rPr>
          <w:rFonts w:ascii="Calibri" w:cs="Calibri" w:eastAsia="Calibri" w:hAnsi="Calibri"/>
          <w:b/>
          <w:bCs/>
          <w:i w:val="false"/>
          <w:iCs w:val="false"/>
          <w:caps w:val="false"/>
          <w:color w:val="0B2C4D"/>
          <w:sz w:val="26"/>
          <w:szCs w:val="26"/>
        </w:rPr>
        <w:t xml:space="preserve">Template — Project Tailoring Assessment</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A — Project Identification</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3313"/>
        <w:gridCol w:w="6433"/>
      </w:tblGrid>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Project Name</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Project Reference / ID</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Governance Tier</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9"/>
                <w:szCs w:val="19"/>
              </w:rPr>
              <w:t xml:space="preserve">⟨ Tier 1 | Tier 2 | Tier 3 | Fast-track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Delivery Approach</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9"/>
                <w:szCs w:val="19"/>
              </w:rPr>
              <w:t xml:space="preserve">⟨ Predictive | Agile | Hybrid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Approved Budget</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Planned Duration</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Assessment Date</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Version</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Status</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9"/>
                <w:szCs w:val="19"/>
              </w:rPr>
              <w:t xml:space="preserve">⟨ Not Started | In Progress | Under Review | Approved | Rejected | On Hold | Completed | Cancelled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B — Project Complexity Assessment</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339"/>
        <w:gridCol w:w="3313"/>
        <w:gridCol w:w="974"/>
        <w:gridCol w:w="974"/>
        <w:gridCol w:w="974"/>
        <w:gridCol w:w="1172"/>
      </w:tblGrid>
      <w:tr>
        <w:trPr>
          <w:cantSplit/>
          <w:tblHeader/>
        </w:trPr>
        <w:tc>
          <w:tcPr>
            <w:tcW w:type="dxa" w:w="2339"/>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Complexity Factor</w:t>
            </w:r>
          </w:p>
        </w:tc>
        <w:tc>
          <w:tcPr>
            <w:tcW w:type="dxa" w:w="3313"/>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Assessment Guidance</w:t>
            </w:r>
          </w:p>
        </w:tc>
        <w:tc>
          <w:tcPr>
            <w:tcW w:type="dxa" w:w="974"/>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Low (1)</w:t>
            </w:r>
          </w:p>
        </w:tc>
        <w:tc>
          <w:tcPr>
            <w:tcW w:type="dxa" w:w="974"/>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Med (3)</w:t>
            </w:r>
          </w:p>
        </w:tc>
        <w:tc>
          <w:tcPr>
            <w:tcW w:type="dxa" w:w="974"/>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High (5)</w:t>
            </w:r>
          </w:p>
        </w:tc>
        <w:tc>
          <w:tcPr>
            <w:tcW w:type="dxa" w:w="1172"/>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Score</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Financial value</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Relative to the organisational threshold</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Duration</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Longer duration increases uncertainty</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Number of stakeholder groups</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More groups increase alignment effort</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Organisational units affected</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Cross-unit delivery increases coordination</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Technical complexity and novelty</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Novel technology increases uncertainty</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Number of interfaces and dependencies</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External dependencies increase exposure</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Regulatory and compliance exposure</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Regulated delivery increases evidence demands</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Supplier and contractual complexity</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Multiple suppliers increase interface risk</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Change impact on people and process</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Greater change increases adoption risk</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Political and reputational sensitivity</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Visibility increases governance demand</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Innovation and precedent</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No precedent increases estimating uncertainty</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Safety, security or data-sensitivity exposure</w:t>
            </w:r>
          </w:p>
        </w:tc>
        <w:tc>
          <w:tcPr>
            <w:tcW w:type="dxa" w:w="331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Higher exposure increases mandatory control</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172"/>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2339"/>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1A1A1A"/>
                <w:sz w:val="19"/>
                <w:szCs w:val="19"/>
              </w:rPr>
              <w:t xml:space="preserve">TOTAL COMPLEXITY SCORE (out of 60)</w:t>
            </w:r>
          </w:p>
        </w:tc>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974"/>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974"/>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974"/>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172"/>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tbl>
      <w:tblPr>
        <w:tblW w:type="dxa" w:w="9746"/>
        <w:tblBorders>
          <w:top w:val="none" w:color="FFFFFF" w:sz="0"/>
          <w:left w:val="single" w:color="B08D3F" w:sz="18"/>
          <w:bottom w:val="none" w:color="FFFFFF" w:sz="0"/>
          <w:right w:val="none" w:color="FFFFFF" w:sz="0"/>
          <w:insideH w:val="none" w:color="FFFFFF" w:sz="0"/>
          <w:insideV w:val="none" w:color="FFFFFF" w:sz="0"/>
        </w:tblBorders>
      </w:tblPr>
      <w:tblGrid>
        <w:gridCol w:w="9746"/>
      </w:tblGrid>
      <w:tr>
        <w:tc>
          <w:tcPr>
            <w:tcW w:type="dxa" w:w="9746"/>
            <w:shd w:fill="F4F6F8"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color w:val="B08D3F"/>
                <w:spacing w:val="30"/>
                <w:sz w:val="16"/>
                <w:szCs w:val="16"/>
              </w:rPr>
              <w:t xml:space="preserve">NOTE   </w:t>
            </w:r>
            <w:r>
              <w:rPr>
                <w:rFonts w:ascii="Calibri" w:cs="Calibri" w:eastAsia="Calibri" w:hAnsi="Calibri"/>
                <w:b w:val="false"/>
                <w:bCs w:val="false"/>
                <w:i/>
                <w:iCs/>
                <w:caps w:val="false"/>
                <w:color w:val="5B6770"/>
                <w:sz w:val="19"/>
                <w:szCs w:val="19"/>
              </w:rPr>
              <w:t xml:space="preserve">Indicative interpretation — 12–24: low complexity, substantial tailoring defensible. 25–42: moderate complexity, selective tailoring. 43–60: high complexity, minimal tailoring; consider additional controls.</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keepNext w:val="false"/>
        <w:spacing w:after="1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C — Process and Control Tailoring Decisions</w:t>
      </w:r>
    </w:p>
    <w:p>
      <w:pPr>
        <w:keepNext w:val="false"/>
        <w:spacing w:after="80" w:before="40" w:line="264"/>
        <w:jc w:val="left"/>
      </w:pPr>
      <w:r>
        <w:rPr>
          <w:rFonts w:ascii="Calibri" w:cs="Calibri" w:eastAsia="Calibri" w:hAnsi="Calibri"/>
          <w:b w:val="false"/>
          <w:bCs w:val="false"/>
          <w:i w:val="false"/>
          <w:iCs w:val="false"/>
          <w:caps w:val="false"/>
          <w:color w:val="1A1A1A"/>
          <w:sz w:val="20"/>
          <w:szCs w:val="20"/>
        </w:rPr>
        <w:t xml:space="preserve">Decision values: Apply in full · Apply in reduced form · Combine · Add · Omit. Mandatory controls are marked M and may not be omitted without an approved waiver.</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1949"/>
        <w:gridCol w:w="584"/>
        <w:gridCol w:w="1461"/>
        <w:gridCol w:w="2923"/>
        <w:gridCol w:w="2829"/>
      </w:tblGrid>
      <w:tr>
        <w:trPr>
          <w:cantSplit/>
          <w:tblHeader/>
        </w:trPr>
        <w:tc>
          <w:tcPr>
            <w:tcW w:type="dxa" w:w="1949"/>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Methodology Element</w:t>
            </w:r>
          </w:p>
        </w:tc>
        <w:tc>
          <w:tcPr>
            <w:tcW w:type="dxa" w:w="584"/>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M?</w:t>
            </w:r>
          </w:p>
        </w:tc>
        <w:tc>
          <w:tcPr>
            <w:tcW w:type="dxa" w:w="1461"/>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Tailoring Decision</w:t>
            </w:r>
          </w:p>
        </w:tc>
        <w:tc>
          <w:tcPr>
            <w:tcW w:type="dxa" w:w="2923"/>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Justification</w:t>
            </w:r>
          </w:p>
        </w:tc>
        <w:tc>
          <w:tcPr>
            <w:tcW w:type="dxa" w:w="2829"/>
            <w:shd w:fill="14456F"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Residual Risk Accepted</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Business case development and re-testing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charter</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Stakeholder identification and analysis</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Stakeholder engagement planning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Requirements elicitation and analysis</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Scope definition and scope structure</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Schedule development and baselining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Cost estimating and budget development</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Financial monitoring and forecasting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Resource planning and acquisition</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Risk identification, analysis and response</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Issue management</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Quality planning and assurance</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Change control</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Configuration and version management</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Procurement and sourcing strategy</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Supplier performance management</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Communications planning and reporting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Stage-gate reviews</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Independent assurance review</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Benefits identification and realisation planning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Operational readiness and transition</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Deliverable acceptance and verification</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Lessons learned capture</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closure and archiving</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M</w:t>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Iteration planning, review and retrospective</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Backlog management and prioritisation</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194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Release planning and readiness</w:t>
            </w:r>
          </w:p>
        </w:tc>
        <w:tc>
          <w:tcPr>
            <w:tcW w:type="dxa" w:w="58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r>
          </w:p>
        </w:tc>
        <w:tc>
          <w:tcPr>
            <w:tcW w:type="dxa" w:w="146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92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82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keepNext w:val="false"/>
        <w:spacing w:after="1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D — Controls Added Beyond the Standard Method</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682"/>
        <w:gridCol w:w="2144"/>
        <w:gridCol w:w="2533"/>
        <w:gridCol w:w="1656"/>
        <w:gridCol w:w="1364"/>
        <w:gridCol w:w="1367"/>
      </w:tblGrid>
      <w:tr>
        <w:trPr>
          <w:tblHeader/>
        </w:trPr>
        <w:tc>
          <w:tcPr>
            <w:tcW w:type="dxa" w:w="682"/>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Ref</w:t>
            </w:r>
          </w:p>
        </w:tc>
        <w:tc>
          <w:tcPr>
            <w:tcW w:type="dxa" w:w="214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Control Added</w:t>
            </w:r>
          </w:p>
        </w:tc>
        <w:tc>
          <w:tcPr>
            <w:tcW w:type="dxa" w:w="2533"/>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Reason for Addition</w:t>
            </w:r>
          </w:p>
        </w:tc>
        <w:tc>
          <w:tcPr>
            <w:tcW w:type="dxa" w:w="1656"/>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Applied To</w:t>
            </w:r>
          </w:p>
        </w:tc>
        <w:tc>
          <w:tcPr>
            <w:tcW w:type="dxa" w:w="136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Owner</w:t>
            </w:r>
          </w:p>
        </w:tc>
        <w:tc>
          <w:tcPr>
            <w:tcW w:type="dxa" w:w="1367"/>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Frequency</w:t>
            </w:r>
          </w:p>
        </w:tc>
      </w:tr>
      <w:tr>
        <w:trPr>
          <w:cantSplit/>
        </w:trPr>
        <w:tc>
          <w:tcPr>
            <w:tcW w:type="dxa" w:w="682"/>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TA-01</w:t>
            </w:r>
          </w:p>
        </w:tc>
        <w:tc>
          <w:tcPr>
            <w:tcW w:type="dxa" w:w="2144"/>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Independent technical design review</w:t>
            </w:r>
          </w:p>
        </w:tc>
        <w:tc>
          <w:tcPr>
            <w:tcW w:type="dxa" w:w="2533"/>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Novel architecture with no organisational precedent</w:t>
            </w:r>
          </w:p>
        </w:tc>
        <w:tc>
          <w:tcPr>
            <w:tcW w:type="dxa" w:w="1656"/>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Solution design</w:t>
            </w:r>
          </w:p>
        </w:tc>
        <w:tc>
          <w:tcPr>
            <w:tcW w:type="dxa" w:w="1364"/>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Chief Architect</w:t>
            </w:r>
          </w:p>
        </w:tc>
        <w:tc>
          <w:tcPr>
            <w:tcW w:type="dxa" w:w="1367"/>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Before G3</w:t>
            </w:r>
          </w:p>
        </w:tc>
      </w:tr>
      <w:tr>
        <w:trPr>
          <w:cantSplit/>
        </w:trPr>
        <w:tc>
          <w:tcPr>
            <w:tcW w:type="dxa" w:w="68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533"/>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65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533"/>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65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533"/>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65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533"/>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65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533"/>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65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E — Artefact Tailoring</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144"/>
        <w:gridCol w:w="974"/>
        <w:gridCol w:w="1559"/>
        <w:gridCol w:w="877"/>
        <w:gridCol w:w="2826"/>
        <w:gridCol w:w="1366"/>
      </w:tblGrid>
      <w:tr>
        <w:trPr>
          <w:tblHeader/>
        </w:trPr>
        <w:tc>
          <w:tcPr>
            <w:tcW w:type="dxa" w:w="214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Artefact</w:t>
            </w:r>
          </w:p>
        </w:tc>
        <w:tc>
          <w:tcPr>
            <w:tcW w:type="dxa" w:w="97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Produced</w:t>
            </w:r>
          </w:p>
        </w:tc>
        <w:tc>
          <w:tcPr>
            <w:tcW w:type="dxa" w:w="155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Merged Into</w:t>
            </w:r>
          </w:p>
        </w:tc>
        <w:tc>
          <w:tcPr>
            <w:tcW w:type="dxa" w:w="877"/>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Omitted</w:t>
            </w:r>
          </w:p>
        </w:tc>
        <w:tc>
          <w:tcPr>
            <w:tcW w:type="dxa" w:w="2826"/>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Justification</w:t>
            </w:r>
          </w:p>
        </w:tc>
        <w:tc>
          <w:tcPr>
            <w:tcW w:type="dxa" w:w="1366"/>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Approved By</w:t>
            </w:r>
          </w:p>
        </w:tc>
      </w:tr>
      <w:tr>
        <w:trPr>
          <w:cantSplit/>
        </w:trPr>
        <w:tc>
          <w:tcPr>
            <w:tcW w:type="dxa" w:w="2144"/>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Communications Management Plan</w:t>
            </w:r>
          </w:p>
        </w:tc>
        <w:tc>
          <w:tcPr>
            <w:tcW w:type="dxa" w:w="974"/>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Reduced</w:t>
            </w:r>
          </w:p>
        </w:tc>
        <w:tc>
          <w:tcPr>
            <w:tcW w:type="dxa" w:w="1559"/>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Project Management Plan §7</w:t>
            </w:r>
          </w:p>
        </w:tc>
        <w:tc>
          <w:tcPr>
            <w:tcW w:type="dxa" w:w="877"/>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
            </w:r>
          </w:p>
        </w:tc>
        <w:tc>
          <w:tcPr>
            <w:tcW w:type="dxa" w:w="2826"/>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Single stakeholder group; low communication complexity</w:t>
            </w:r>
          </w:p>
        </w:tc>
        <w:tc>
          <w:tcPr>
            <w:tcW w:type="dxa" w:w="1366"/>
            <w:shd w:fill="F3ECD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7"/>
                <w:szCs w:val="17"/>
              </w:rPr>
              <w:t xml:space="preserve">PMO</w:t>
            </w:r>
          </w:p>
        </w:tc>
      </w:tr>
      <w:tr>
        <w:trPr>
          <w:cantSplit/>
        </w:trPr>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14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97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55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877"/>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82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F — Waivers Required</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682"/>
        <w:gridCol w:w="1851"/>
        <w:gridCol w:w="1754"/>
        <w:gridCol w:w="1754"/>
        <w:gridCol w:w="1949"/>
        <w:gridCol w:w="1072"/>
        <w:gridCol w:w="684"/>
      </w:tblGrid>
      <w:tr>
        <w:trPr>
          <w:tblHeader/>
        </w:trPr>
        <w:tc>
          <w:tcPr>
            <w:tcW w:type="dxa" w:w="682"/>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Ref</w:t>
            </w:r>
          </w:p>
        </w:tc>
        <w:tc>
          <w:tcPr>
            <w:tcW w:type="dxa" w:w="185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Mandatory Control Affected</w:t>
            </w:r>
          </w:p>
        </w:tc>
        <w:tc>
          <w:tcPr>
            <w:tcW w:type="dxa" w:w="175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Nature of the Waiver</w:t>
            </w:r>
          </w:p>
        </w:tc>
        <w:tc>
          <w:tcPr>
            <w:tcW w:type="dxa" w:w="175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Residual Risk</w:t>
            </w:r>
          </w:p>
        </w:tc>
        <w:tc>
          <w:tcPr>
            <w:tcW w:type="dxa" w:w="194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Compensating Control</w:t>
            </w:r>
          </w:p>
        </w:tc>
        <w:tc>
          <w:tcPr>
            <w:tcW w:type="dxa" w:w="1072"/>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Approved By</w:t>
            </w:r>
          </w:p>
        </w:tc>
        <w:tc>
          <w:tcPr>
            <w:tcW w:type="dxa" w:w="68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Date</w:t>
            </w:r>
          </w:p>
        </w:tc>
      </w:tr>
      <w:tr>
        <w:trPr>
          <w:cantSplit/>
        </w:trPr>
        <w:tc>
          <w:tcPr>
            <w:tcW w:type="dxa" w:w="68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94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07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68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94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07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68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94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072"/>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684"/>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68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75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94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072"/>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684"/>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G — Cumulative Tailoring Impact Assessment</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3313"/>
        <w:gridCol w:w="6433"/>
      </w:tblGrid>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G1. Number of Elements Applied in Full</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G2. Number Applied in Reduced Form</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G3. Number Combined or Omitted</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G4. Number of Controls Added</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G5. Assessment of the Cumulative Control Environment</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iCs/>
                <w:caps w:val="false"/>
                <w:color w:val="5B6770"/>
                <w:sz w:val="19"/>
                <w:szCs w:val="19"/>
              </w:rPr>
              <w:t xml:space="preserve">⟨ is the resulting control set adequate for the assessed complexity?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G6. Principal Residual Risks Arising from the Tailoring as a Whole</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G7. Compensating Arrangements</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3313"/>
            <w:shd w:fill="E4EBF2"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9"/>
                <w:szCs w:val="19"/>
              </w:rPr>
              <w:t xml:space="preserve">G8. Conditions Requiring Reinstatement of Tailored-Out Controls</w:t>
            </w:r>
          </w:p>
        </w:tc>
        <w:tc>
          <w:tcPr>
            <w:tcW w:type="dxa" w:w="6433"/>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2"/>
        <w:keepNext/>
        <w:spacing w:after="90" w:before="200"/>
      </w:pPr>
      <w:r>
        <w:rPr>
          <w:rFonts w:ascii="Calibri" w:cs="Calibri" w:eastAsia="Calibri" w:hAnsi="Calibri"/>
          <w:b/>
          <w:bCs/>
          <w:i w:val="false"/>
          <w:iCs w:val="false"/>
          <w:caps w:val="false"/>
          <w:color w:val="14456F"/>
          <w:sz w:val="22"/>
          <w:szCs w:val="22"/>
        </w:rPr>
        <w:t xml:space="preserve">Section H — Tailoring Review Log</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1169"/>
        <w:gridCol w:w="1461"/>
        <w:gridCol w:w="1851"/>
        <w:gridCol w:w="1851"/>
        <w:gridCol w:w="2046"/>
        <w:gridCol w:w="1368"/>
      </w:tblGrid>
      <w:tr>
        <w:trPr>
          <w:tblHeader/>
        </w:trPr>
        <w:tc>
          <w:tcPr>
            <w:tcW w:type="dxa" w:w="116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Review Date</w:t>
            </w:r>
          </w:p>
        </w:tc>
        <w:tc>
          <w:tcPr>
            <w:tcW w:type="dxa" w:w="146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Gate / Trigger</w:t>
            </w:r>
          </w:p>
        </w:tc>
        <w:tc>
          <w:tcPr>
            <w:tcW w:type="dxa" w:w="185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Elements Reinstated</w:t>
            </w:r>
          </w:p>
        </w:tc>
        <w:tc>
          <w:tcPr>
            <w:tcW w:type="dxa" w:w="185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Elements Further Tailored</w:t>
            </w:r>
          </w:p>
        </w:tc>
        <w:tc>
          <w:tcPr>
            <w:tcW w:type="dxa" w:w="2046"/>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Reason</w:t>
            </w:r>
          </w:p>
        </w:tc>
        <w:tc>
          <w:tcPr>
            <w:tcW w:type="dxa" w:w="1368"/>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Approved By</w:t>
            </w:r>
          </w:p>
        </w:tc>
      </w:tr>
      <w:tr>
        <w:trPr>
          <w:cantSplit/>
        </w:trPr>
        <w:tc>
          <w:tcPr>
            <w:tcW w:type="dxa" w:w="116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46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04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8"/>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116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46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04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8"/>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116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46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04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8"/>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1169"/>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46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046"/>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8"/>
            <w:shd w:fill="F4F6F8" w:color="auto" w:val="clear"/>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1169"/>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46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851"/>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046"/>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8"/>
            <w:tcMar>
              <w:top w:type="dxa" w:w="90"/>
              <w:left w:type="dxa" w:w="110"/>
              <w:bottom w:type="dxa" w:w="9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10.  </w:t>
      </w:r>
      <w:r>
        <w:rPr>
          <w:rFonts w:ascii="Calibri" w:cs="Calibri" w:eastAsia="Calibri" w:hAnsi="Calibri"/>
          <w:b/>
          <w:bCs/>
          <w:i w:val="false"/>
          <w:iCs w:val="false"/>
          <w:caps w:val="false"/>
          <w:color w:val="0B2C4D"/>
          <w:sz w:val="26"/>
          <w:szCs w:val="26"/>
        </w:rPr>
        <w:t xml:space="preserve">Approval and Authorisation</w:t>
      </w:r>
    </w:p>
    <w:p>
      <w:pPr>
        <w:keepNext w:val="false"/>
        <w:spacing w:after="80" w:before="40" w:line="264"/>
        <w:jc w:val="left"/>
      </w:pPr>
      <w:r>
        <w:rPr>
          <w:rFonts w:ascii="Calibri" w:cs="Calibri" w:eastAsia="Calibri" w:hAnsi="Calibri"/>
          <w:b w:val="false"/>
          <w:bCs w:val="false"/>
          <w:i w:val="false"/>
          <w:iCs w:val="false"/>
          <w:caps w:val="false"/>
          <w:color w:val="1A1A1A"/>
          <w:sz w:val="20"/>
          <w:szCs w:val="20"/>
        </w:rPr>
        <w:t xml:space="preserve">By signing below, each approver confirms that the content of this document has been reviewed, is accurate to the best of their knowledge, and is authorised for use within the project.</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2533"/>
        <w:gridCol w:w="2339"/>
        <w:gridCol w:w="2339"/>
        <w:gridCol w:w="1364"/>
        <w:gridCol w:w="1171"/>
      </w:tblGrid>
      <w:tr>
        <w:trPr>
          <w:tblHeader/>
        </w:trPr>
        <w:tc>
          <w:tcPr>
            <w:tcW w:type="dxa" w:w="2533"/>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Approval Role</w:t>
            </w:r>
          </w:p>
        </w:tc>
        <w:tc>
          <w:tcPr>
            <w:tcW w:type="dxa" w:w="233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Name</w:t>
            </w:r>
          </w:p>
        </w:tc>
        <w:tc>
          <w:tcPr>
            <w:tcW w:type="dxa" w:w="233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Position / Title</w:t>
            </w:r>
          </w:p>
        </w:tc>
        <w:tc>
          <w:tcPr>
            <w:tcW w:type="dxa" w:w="136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Signature</w:t>
            </w:r>
          </w:p>
        </w:tc>
        <w:tc>
          <w:tcPr>
            <w:tcW w:type="dxa" w:w="117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8"/>
                <w:szCs w:val="18"/>
              </w:rPr>
              <w:t xml:space="preserve">Date</w:t>
            </w:r>
          </w:p>
        </w:tc>
      </w:tr>
      <w:tr>
        <w:trPr>
          <w:cantSplit/>
        </w:trPr>
        <w:tc>
          <w:tcPr>
            <w:tcW w:type="dxa" w:w="2533"/>
            <w:shd w:fill="E4EBF2"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8"/>
                <w:szCs w:val="18"/>
              </w:rPr>
              <w:t xml:space="preserve">Prepared by (Project Manager)</w:t>
            </w:r>
          </w:p>
        </w:tc>
        <w:tc>
          <w:tcPr>
            <w:tcW w:type="dxa" w:w="2339"/>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339"/>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171"/>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533"/>
            <w:shd w:fill="E4EBF2"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8"/>
                <w:szCs w:val="18"/>
              </w:rPr>
              <w:t xml:space="preserve">Approved by (PMO Manager)</w:t>
            </w:r>
          </w:p>
        </w:tc>
        <w:tc>
          <w:tcPr>
            <w:tcW w:type="dxa" w:w="2339"/>
            <w:shd w:fill="F4F6F8"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339"/>
            <w:shd w:fill="F4F6F8"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shd w:fill="F4F6F8"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171"/>
            <w:shd w:fill="F4F6F8"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r>
        <w:trPr>
          <w:cantSplit/>
        </w:trPr>
        <w:tc>
          <w:tcPr>
            <w:tcW w:type="dxa" w:w="2533"/>
            <w:shd w:fill="E4EBF2" w:color="auto" w:val="clear"/>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z w:val="18"/>
                <w:szCs w:val="18"/>
              </w:rPr>
              <w:t xml:space="preserve">Residual risk accepted by (Project Sponsor)</w:t>
            </w:r>
          </w:p>
        </w:tc>
        <w:tc>
          <w:tcPr>
            <w:tcW w:type="dxa" w:w="2339"/>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2339"/>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364"/>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c>
          <w:tcPr>
            <w:tcW w:type="dxa" w:w="1171"/>
            <w:tcMar>
              <w:top w:type="dxa" w:w="130"/>
              <w:left w:type="dxa" w:w="110"/>
              <w:bottom w:type="dxa" w:w="13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8"/>
                <w:szCs w:val="18"/>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11.  </w:t>
      </w:r>
      <w:r>
        <w:rPr>
          <w:rFonts w:ascii="Calibri" w:cs="Calibri" w:eastAsia="Calibri" w:hAnsi="Calibri"/>
          <w:b/>
          <w:bCs/>
          <w:i w:val="false"/>
          <w:iCs w:val="false"/>
          <w:caps w:val="false"/>
          <w:color w:val="0B2C4D"/>
          <w:sz w:val="26"/>
          <w:szCs w:val="26"/>
        </w:rPr>
        <w:t xml:space="preserve">Revision History</w:t>
      </w:r>
    </w:p>
    <w:tbl>
      <w:tblPr>
        <w:tblW w:type="dxa" w:w="9746"/>
        <w:tblBorders>
          <w:top w:val="single" w:color="C7CDD3" w:sz="4"/>
          <w:left w:val="single" w:color="C7CDD3" w:sz="4"/>
          <w:bottom w:val="single" w:color="C7CDD3" w:sz="4"/>
          <w:right w:val="single" w:color="C7CDD3" w:sz="4"/>
          <w:insideH w:val="single" w:color="C7CDD3" w:sz="4"/>
          <w:insideV w:val="single" w:color="C7CDD3" w:sz="4"/>
        </w:tblBorders>
      </w:tblPr>
      <w:tblGrid>
        <w:gridCol w:w="974"/>
        <w:gridCol w:w="1364"/>
        <w:gridCol w:w="2728"/>
        <w:gridCol w:w="2339"/>
        <w:gridCol w:w="2341"/>
      </w:tblGrid>
      <w:tr>
        <w:trPr>
          <w:cantSplit/>
          <w:tblHeader/>
        </w:trPr>
        <w:tc>
          <w:tcPr>
            <w:tcW w:type="dxa" w:w="97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Version</w:t>
            </w:r>
          </w:p>
        </w:tc>
        <w:tc>
          <w:tcPr>
            <w:tcW w:type="dxa" w:w="1364"/>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Date</w:t>
            </w:r>
          </w:p>
        </w:tc>
        <w:tc>
          <w:tcPr>
            <w:tcW w:type="dxa" w:w="2728"/>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Description of Change</w:t>
            </w:r>
          </w:p>
        </w:tc>
        <w:tc>
          <w:tcPr>
            <w:tcW w:type="dxa" w:w="2339"/>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Prepared / Revised By</w:t>
            </w:r>
          </w:p>
        </w:tc>
        <w:tc>
          <w:tcPr>
            <w:tcW w:type="dxa" w:w="2341"/>
            <w:shd w:fill="0B2C4D"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val="false"/>
                <w:color w:val="FFFFFF"/>
                <w:sz w:val="19"/>
                <w:szCs w:val="19"/>
              </w:rPr>
              <w:t xml:space="preserve">Approved By</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0.1</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DD-MMM-YYYY</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Initial draft prepared for review</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Project Manager</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0.9</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DD-MMM-YYYY</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Reviewed by PMO; comments incorporated</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PMO Analyst</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5B6770"/>
                <w:sz w:val="19"/>
                <w:szCs w:val="19"/>
              </w:rPr>
              <w:t xml:space="preserve">—</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1.0</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01-Sep-2026</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First approved and issued baseline</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Project Manager</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PMO Manager (methodological approval) and Project Sponsor (acceptance of residual risk)</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r>
        <w:trPr>
          <w:cantSplit/>
        </w:trPr>
        <w:tc>
          <w:tcPr>
            <w:tcW w:type="dxa" w:w="97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1364"/>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728"/>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39"/>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c>
          <w:tcPr>
            <w:tcW w:type="dxa" w:w="2341"/>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val="false"/>
                <w:bCs w:val="false"/>
                <w:i w:val="false"/>
                <w:iCs w:val="false"/>
                <w:caps w:val="false"/>
                <w:color w:val="1A1A1A"/>
                <w:sz w:val="19"/>
                <w:szCs w:val="19"/>
              </w:rPr>
              <w:t xml:space="preserve"> </w:t>
            </w:r>
          </w:p>
        </w:tc>
      </w:tr>
    </w:tbl>
    <w:p>
      <w:pPr>
        <w:keepNext w:val="false"/>
        <w:spacing w:after="60" w:before="40" w:line="264"/>
        <w:jc w:val="left"/>
      </w:pPr>
      <w:r>
        <w:rPr>
          <w:rFonts w:ascii="Calibri" w:cs="Calibri" w:eastAsia="Calibri" w:hAnsi="Calibri"/>
          <w:b w:val="false"/>
          <w:bCs w:val="false"/>
          <w:i w:val="false"/>
          <w:iCs w:val="false"/>
          <w:caps w:val="false"/>
          <w:color w:val="1A1A1A"/>
          <w:sz w:val="8"/>
          <w:szCs w:val="8"/>
        </w:rPr>
        <w:t xml:space="preserve"> </w:t>
      </w:r>
    </w:p>
    <w:tbl>
      <w:tblPr>
        <w:tblW w:type="dxa" w:w="9746"/>
        <w:tblBorders>
          <w:top w:val="none" w:color="FFFFFF" w:sz="0"/>
          <w:left w:val="single" w:color="B08D3F" w:sz="18"/>
          <w:bottom w:val="none" w:color="FFFFFF" w:sz="0"/>
          <w:right w:val="none" w:color="FFFFFF" w:sz="0"/>
          <w:insideH w:val="none" w:color="FFFFFF" w:sz="0"/>
          <w:insideV w:val="none" w:color="FFFFFF" w:sz="0"/>
        </w:tblBorders>
      </w:tblPr>
      <w:tblGrid>
        <w:gridCol w:w="9746"/>
      </w:tblGrid>
      <w:tr>
        <w:tc>
          <w:tcPr>
            <w:tcW w:type="dxa" w:w="9746"/>
            <w:shd w:fill="F4F6F8" w:color="auto" w:val="clear"/>
            <w:tcMar>
              <w:top w:type="dxa" w:w="70"/>
              <w:left w:type="dxa" w:w="110"/>
              <w:bottom w:type="dxa" w:w="70"/>
              <w:right w:type="dxa" w:w="110"/>
            </w:tcMar>
            <w:vAlign w:val="center"/>
          </w:tcPr>
          <w:p>
            <w:pPr>
              <w:keepNext w:val="false"/>
              <w:spacing w:after="0" w:before="0" w:line="264"/>
              <w:jc w:val="left"/>
            </w:pPr>
            <w:r>
              <w:rPr>
                <w:rFonts w:ascii="Calibri" w:cs="Calibri" w:eastAsia="Calibri" w:hAnsi="Calibri"/>
                <w:b/>
                <w:bCs/>
                <w:i w:val="false"/>
                <w:iCs w:val="false"/>
                <w:caps/>
                <w:color w:val="B08D3F"/>
                <w:spacing w:val="30"/>
                <w:sz w:val="16"/>
                <w:szCs w:val="16"/>
              </w:rPr>
              <w:t xml:space="preserve">NOTE   </w:t>
            </w:r>
            <w:r>
              <w:rPr>
                <w:rFonts w:ascii="Calibri" w:cs="Calibri" w:eastAsia="Calibri" w:hAnsi="Calibri"/>
                <w:b w:val="false"/>
                <w:bCs w:val="false"/>
                <w:i/>
                <w:iCs/>
                <w:caps w:val="false"/>
                <w:color w:val="5B6770"/>
                <w:sz w:val="19"/>
                <w:szCs w:val="19"/>
              </w:rPr>
              <w:t xml:space="preserve">Rows shown in shaded italics are illustrative examples of how the revision history is completed. Replace them with the actual revision record.</w:t>
            </w:r>
          </w:p>
        </w:tc>
      </w:tr>
    </w:tbl>
    <w:p>
      <w:pPr>
        <w:keepNext w:val="false"/>
        <w:spacing w:after="120" w:before="40" w:line="264"/>
        <w:jc w:val="left"/>
      </w:pPr>
      <w:r>
        <w:rPr>
          <w:rFonts w:ascii="Calibri" w:cs="Calibri" w:eastAsia="Calibri" w:hAnsi="Calibri"/>
          <w:b w:val="false"/>
          <w:bCs w:val="false"/>
          <w:i w:val="false"/>
          <w:iCs w:val="false"/>
          <w:caps w:val="false"/>
          <w:color w:val="1A1A1A"/>
          <w:sz w:val="8"/>
          <w:szCs w:val="8"/>
        </w:rPr>
        <w:t xml:space="preserve"> </w:t>
      </w:r>
    </w:p>
    <w:p>
      <w:pPr>
        <w:pStyle w:val="Heading1"/>
        <w:pBdr>
          <w:bottom w:val="single" w:color="B08D3F" w:sz="10" w:space="4"/>
        </w:pBdr>
        <w:spacing w:after="140" w:before="300"/>
      </w:pPr>
      <w:r>
        <w:rPr>
          <w:rFonts w:ascii="Calibri" w:cs="Calibri" w:eastAsia="Calibri" w:hAnsi="Calibri"/>
          <w:b/>
          <w:bCs/>
          <w:i w:val="false"/>
          <w:iCs w:val="false"/>
          <w:caps w:val="false"/>
          <w:color w:val="B08D3F"/>
          <w:sz w:val="26"/>
          <w:szCs w:val="26"/>
        </w:rPr>
        <w:t xml:space="preserve">12.  </w:t>
      </w:r>
      <w:r>
        <w:rPr>
          <w:rFonts w:ascii="Calibri" w:cs="Calibri" w:eastAsia="Calibri" w:hAnsi="Calibri"/>
          <w:b/>
          <w:bCs/>
          <w:i w:val="false"/>
          <w:iCs w:val="false"/>
          <w:caps w:val="false"/>
          <w:color w:val="0B2C4D"/>
          <w:sz w:val="26"/>
          <w:szCs w:val="26"/>
        </w:rPr>
        <w:t xml:space="preserve">Notice and Disclaimer</w:t>
      </w:r>
    </w:p>
    <w:p>
      <w:pPr>
        <w:keepNext w:val="false"/>
        <w:spacing w:after="80" w:before="40" w:line="240"/>
        <w:jc w:val="left"/>
      </w:pPr>
      <w:r>
        <w:rPr>
          <w:rFonts w:ascii="Calibri" w:cs="Calibri" w:eastAsia="Calibri" w:hAnsi="Calibri"/>
          <w:b w:val="false"/>
          <w:bCs w:val="false"/>
          <w:i/>
          <w:iCs/>
          <w:caps w:val="false"/>
          <w:color w:val="5B6770"/>
          <w:sz w:val="17"/>
          <w:szCs w:val="17"/>
        </w:rPr>
        <w:t xml:space="preserve">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headerReference w:type="default" r:id="rId7"/>
      <w:footerReference w:type="default" r:id="rId8"/>
      <w:pgSz w:w="11906" w:h="16838" w:orient="portrait"/>
      <w:pgMar w:top="1560" w:right="1080" w:bottom="1300" w:left="108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746"/>
      <w:tblBorders>
        <w:top w:val="single" w:color="C7CDD3" w:sz="6" w:space="2"/>
        <w:left w:val="none" w:color="FFFFFF" w:sz="0"/>
        <w:bottom w:val="none" w:color="FFFFFF" w:sz="0"/>
        <w:right w:val="none" w:color="FFFFFF" w:sz="0"/>
        <w:insideH w:val="none" w:color="FFFFFF" w:sz="0"/>
        <w:insideV w:val="none" w:color="FFFFFF" w:sz="0"/>
      </w:tblBorders>
    </w:tblPr>
    <w:tblGrid>
      <w:gridCol w:w="4873"/>
      <w:gridCol w:w="2144"/>
      <w:gridCol w:w="2729"/>
    </w:tblGrid>
    <w:tr>
      <w:tc>
        <w:tcPr>
          <w:tcW w:type="dxa" w:w="4873"/>
          <w:tcMar>
            <w:top w:type="dxa" w:w="30"/>
            <w:left w:type="dxa" w:w="110"/>
            <w:bottom w:type="dxa" w:w="0"/>
            <w:right w:type="dxa" w:w="110"/>
          </w:tcMar>
          <w:vAlign w:val="center"/>
        </w:tcPr>
        <w:p>
          <w:pPr>
            <w:keepNext w:val="false"/>
            <w:spacing w:after="0" w:before="40" w:line="264"/>
            <w:jc w:val="left"/>
          </w:pPr>
          <w:r>
            <w:rPr>
              <w:rFonts w:ascii="Calibri" w:cs="Calibri" w:eastAsia="Calibri" w:hAnsi="Calibri"/>
              <w:b w:val="false"/>
              <w:bCs w:val="false"/>
              <w:i w:val="false"/>
              <w:iCs w:val="false"/>
              <w:caps w:val="false"/>
              <w:color w:val="5B6770"/>
              <w:sz w:val="15"/>
              <w:szCs w:val="15"/>
            </w:rPr>
            <w:t xml:space="preserve">Project Tailoring Assessment</w:t>
          </w:r>
        </w:p>
      </w:tc>
      <w:tc>
        <w:tcPr>
          <w:tcW w:type="dxa" w:w="2144"/>
          <w:tcMar>
            <w:top w:type="dxa" w:w="30"/>
            <w:left w:type="dxa" w:w="110"/>
            <w:bottom w:type="dxa" w:w="0"/>
            <w:right w:type="dxa" w:w="110"/>
          </w:tcMar>
          <w:vAlign w:val="center"/>
        </w:tcPr>
        <w:p>
          <w:pPr>
            <w:keepNext w:val="false"/>
            <w:spacing w:after="0" w:before="40" w:line="264"/>
            <w:jc w:val="center"/>
          </w:pPr>
          <w:r>
            <w:rPr>
              <w:rFonts w:ascii="Calibri" w:cs="Calibri" w:eastAsia="Calibri" w:hAnsi="Calibri"/>
              <w:b w:val="false"/>
              <w:bCs w:val="false"/>
              <w:i w:val="false"/>
              <w:iCs w:val="false"/>
              <w:caps w:val="false"/>
              <w:color w:val="5B6770"/>
              <w:sz w:val="15"/>
              <w:szCs w:val="15"/>
            </w:rPr>
            <w:t xml:space="preserve">Version 1.0</w:t>
          </w:r>
        </w:p>
      </w:tc>
      <w:tc>
        <w:tcPr>
          <w:tcW w:type="dxa" w:w="2729"/>
          <w:tcMar>
            <w:top w:type="dxa" w:w="30"/>
            <w:left w:type="dxa" w:w="110"/>
            <w:bottom w:type="dxa" w:w="0"/>
            <w:right w:type="dxa" w:w="110"/>
          </w:tcMar>
          <w:vAlign w:val="center"/>
        </w:tcPr>
        <w:p>
          <w:pPr>
            <w:spacing w:after="0" w:before="40"/>
            <w:jc w:val="right"/>
          </w:pPr>
          <w:r>
            <w:rPr>
              <w:rFonts w:ascii="Calibri" w:cs="Calibri" w:eastAsia="Calibri" w:hAnsi="Calibri"/>
              <w:b w:val="false"/>
              <w:bCs w:val="false"/>
              <w:i w:val="false"/>
              <w:iCs w:val="false"/>
              <w:caps w:val="false"/>
              <w:color w:val="5B6770"/>
              <w:sz w:val="15"/>
              <w:szCs w:val="15"/>
            </w:rPr>
            <w:t xml:space="preserve">Page </w:t>
          </w:r>
          <w:r>
            <w:rPr>
              <w:rFonts w:ascii="Calibri" w:cs="Calibri" w:eastAsia="Calibri" w:hAnsi="Calibri"/>
              <w:b/>
              <w:bCs/>
              <w:color w:val="0B2C4D"/>
              <w:sz w:val="15"/>
              <w:szCs w:val="15"/>
            </w:rPr>
            <w:fldChar w:fldCharType="begin"/>
            <w:instrText xml:space="preserve">PAGE</w:instrText>
            <w:fldChar w:fldCharType="separate"/>
            <w:fldChar w:fldCharType="end"/>
          </w:r>
          <w:r>
            <w:rPr>
              <w:rFonts w:ascii="Calibri" w:cs="Calibri" w:eastAsia="Calibri" w:hAnsi="Calibri"/>
              <w:b w:val="false"/>
              <w:bCs w:val="false"/>
              <w:i w:val="false"/>
              <w:iCs w:val="false"/>
              <w:caps w:val="false"/>
              <w:color w:val="5B6770"/>
              <w:sz w:val="15"/>
              <w:szCs w:val="15"/>
            </w:rPr>
            <w:t xml:space="preserve"> of </w:t>
          </w:r>
          <w:r>
            <w:rPr>
              <w:rFonts w:ascii="Calibri" w:cs="Calibri" w:eastAsia="Calibri" w:hAnsi="Calibri"/>
              <w:b/>
              <w:bCs/>
              <w:color w:val="0B2C4D"/>
              <w:sz w:val="15"/>
              <w:szCs w:val="15"/>
            </w:rPr>
            <w:fldChar w:fldCharType="begin"/>
            <w:instrText xml:space="preserve">NUMPAGES</w:instrText>
            <w:fldChar w:fldCharType="separate"/>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746"/>
      <w:tblBorders>
        <w:top w:val="none" w:color="FFFFFF" w:sz="0"/>
        <w:left w:val="none" w:color="FFFFFF" w:sz="0"/>
        <w:bottom w:val="single" w:color="B08D3F" w:sz="8" w:space="2"/>
        <w:right w:val="none" w:color="FFFFFF" w:sz="0"/>
        <w:insideH w:val="none" w:color="FFFFFF" w:sz="0"/>
        <w:insideV w:val="none" w:color="FFFFFF" w:sz="0"/>
      </w:tblBorders>
    </w:tblPr>
    <w:tblGrid>
      <w:gridCol w:w="6042"/>
      <w:gridCol w:w="3704"/>
    </w:tblGrid>
    <w:tr>
      <w:tc>
        <w:tcPr>
          <w:tcW w:type="dxa" w:w="6042"/>
          <w:tcMar>
            <w:top w:type="dxa" w:w="0"/>
            <w:left w:type="dxa" w:w="110"/>
            <w:bottom w:type="dxa" w:w="40"/>
            <w:right w:type="dxa" w:w="110"/>
          </w:tcMar>
          <w:vAlign w:val="center"/>
        </w:tcPr>
        <w:p>
          <w:pPr>
            <w:keepNext w:val="false"/>
            <w:spacing w:after="0" w:before="0" w:line="264"/>
            <w:jc w:val="left"/>
          </w:pPr>
          <w:r>
            <w:rPr>
              <w:rFonts w:ascii="Calibri" w:cs="Calibri" w:eastAsia="Calibri" w:hAnsi="Calibri"/>
              <w:b/>
              <w:bCs/>
              <w:i w:val="false"/>
              <w:iCs w:val="false"/>
              <w:caps w:val="false"/>
              <w:color w:val="0B2C4D"/>
              <w:spacing w:val="60"/>
              <w:sz w:val="22"/>
              <w:szCs w:val="22"/>
            </w:rPr>
            <w:t xml:space="preserve">IMTITHAL</w:t>
          </w:r>
          <w:r>
            <w:rPr>
              <w:rFonts w:ascii="Calibri" w:cs="Calibri" w:eastAsia="Calibri" w:hAnsi="Calibri"/>
              <w:b w:val="false"/>
              <w:bCs w:val="false"/>
              <w:i w:val="false"/>
              <w:iCs w:val="false"/>
              <w:caps w:val="false"/>
              <w:color w:val="5B6770"/>
              <w:sz w:val="17"/>
              <w:szCs w:val="17"/>
            </w:rPr>
            <w:t xml:space="preserve">   |   Project Management System</w:t>
          </w:r>
        </w:p>
      </w:tc>
      <w:tc>
        <w:tcPr>
          <w:tcW w:type="dxa" w:w="3704"/>
          <w:tcMar>
            <w:top w:type="dxa" w:w="0"/>
            <w:left w:type="dxa" w:w="110"/>
            <w:bottom w:type="dxa" w:w="40"/>
            <w:right w:type="dxa" w:w="110"/>
          </w:tcMar>
          <w:vAlign w:val="center"/>
        </w:tcPr>
        <w:p>
          <w:pPr>
            <w:keepNext w:val="false"/>
            <w:spacing w:after="0" w:before="0" w:line="264"/>
            <w:jc w:val="right"/>
          </w:pPr>
          <w:r>
            <w:rPr>
              <w:rFonts w:ascii="Calibri" w:cs="Calibri" w:eastAsia="Calibri" w:hAnsi="Calibri"/>
              <w:b/>
              <w:bCs/>
              <w:i w:val="false"/>
              <w:iCs w:val="false"/>
              <w:caps w:val="false"/>
              <w:color w:val="0B2C4D"/>
              <w:sz w:val="17"/>
              <w:szCs w:val="17"/>
            </w:rPr>
            <w:t xml:space="preserve">IMT-PIG-017</w:t>
          </w:r>
          <w:r>
            <w:rPr>
              <w:rFonts w:ascii="Calibri" w:cs="Calibri" w:eastAsia="Calibri" w:hAnsi="Calibri"/>
              <w:b w:val="false"/>
              <w:bCs w:val="false"/>
              <w:i w:val="false"/>
              <w:iCs w:val="false"/>
              <w:caps w:val="false"/>
              <w:color w:val="5B6770"/>
              <w:sz w:val="14"/>
              <w:szCs w:val="14"/>
            </w:rPr>
            <w:t xml:space="preserve">   ·   PMBOK® Guide – 8th Edition Aligned</w:t>
          </w:r>
        </w:p>
      </w:tc>
    </w:tr>
  </w:tbl>
  <w:p>
    <w:pPr>
      <w:keepNext w:val="false"/>
      <w:spacing w:after="0" w:before="0" w:line="264"/>
      <w:jc w:val="left"/>
    </w:pPr>
    <w:r>
      <w:rPr>
        <w:rFonts w:ascii="Calibri" w:cs="Calibri" w:eastAsia="Calibri" w:hAnsi="Calibri"/>
        <w:b w:val="false"/>
        <w:bCs w:val="false"/>
        <w:i w:val="false"/>
        <w:iCs w:val="false"/>
        <w:caps w:val="false"/>
        <w:color w:val="1A1A1A"/>
        <w:sz w:val="8"/>
        <w:szCs w:val="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rFonts w:ascii="Calibri" w:cs="Calibri" w:eastAsia="Calibri" w:hAnsi="Calibri"/>
        <w:color w:val="B08D3F"/>
      </w:rPr>
    </w:lvl>
    <w:lvl w:ilvl="1" w15:tentative="1">
      <w:start w:val="1"/>
      <w:numFmt w:val="bullet"/>
      <w:lvlText w:val="–"/>
      <w:lvlJc w:val="left"/>
      <w:pPr>
        <w:ind w:left="720" w:hanging="220"/>
      </w:pPr>
      <w:rPr>
        <w:color w:val="B08D3F"/>
      </w:rPr>
    </w:lvl>
  </w:abstractNum>
  <w:abstractNum w:abstractNumId="3" w15:restartNumberingAfterBreak="0">
    <w:multiLevelType w:val="hybridMultilevel"/>
    <w:lvl w:ilvl="0" w15:tentative="1">
      <w:start w:val="1"/>
      <w:numFmt w:val="decimal"/>
      <w:lvlText w:val="%1."/>
      <w:lvlJc w:val="left"/>
      <w:pPr>
        <w:ind w:left="400" w:hanging="260"/>
      </w:pPr>
      <w:rPr>
        <w:rFonts w:ascii="Calibri" w:cs="Calibri" w:eastAsia="Calibri" w:hAnsi="Calibri"/>
        <w:b/>
        <w:bCs/>
        <w:color w:val="0B2C4D"/>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0B2C4D"/>
      <w:sz w:val="26"/>
      <w:szCs w:val="26"/>
    </w:rPr>
  </w:style>
  <w:style w:type="paragraph" w:styleId="Heading2">
    <w:name w:val="Heading 2"/>
    <w:basedOn w:val="Normal"/>
    <w:next w:val="Normal"/>
    <w:qFormat/>
    <w:rPr>
      <w:rFonts w:ascii="Calibri" w:cs="Calibri" w:eastAsia="Calibri" w:hAnsi="Calibri"/>
      <w:b/>
      <w:bCs/>
      <w:color w:val="14456F"/>
      <w:sz w:val="22"/>
      <w:szCs w:val="22"/>
    </w:rPr>
  </w:style>
  <w:style w:type="paragraph" w:styleId="Heading3">
    <w:name w:val="Heading 3"/>
    <w:basedOn w:val="Normal"/>
    <w:next w:val="Normal"/>
    <w:qFormat/>
    <w:rPr>
      <w:rFonts w:ascii="Calibri" w:cs="Calibri" w:eastAsia="Calibri" w:hAnsi="Calibri"/>
      <w:b/>
      <w:bCs/>
      <w:color w:val="B08D3F"/>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Tailoring Assessment</dc:title>
  <dc:creator>IMTITHAL Project Management System</dc:creator>
  <dc:description>The Tailoring Assessment records how the organisational project management methodology is adapted to the specific context of this project: which processes, artefacts, ceremonies, controls and reviews are applied in full, applied in a reduced form, added, or omitted, together with the justification for each decision and the residual risk accepted. Tailoring is a deliberate governance act, not an informal shortcut; this document is the control that makes it visible, justified and approved.</dc:description>
  <cp:lastModifiedBy>Un-named</cp:lastModifiedBy>
  <cp:revision>1</cp:revision>
  <dcterms:created xsi:type="dcterms:W3CDTF">2026-08-13T22:26:31.694Z</dcterms:created>
  <dcterms:modified xsi:type="dcterms:W3CDTF">2026-08-13T22:26:31.694Z</dcterms:modified>
</cp:coreProperties>
</file>

<file path=docProps/custom.xml><?xml version="1.0" encoding="utf-8"?>
<Properties xmlns="http://schemas.openxmlformats.org/officeDocument/2006/custom-properties" xmlns:vt="http://schemas.openxmlformats.org/officeDocument/2006/docPropsVTypes"/>
</file>